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9B" w:rsidRDefault="00EB5D00" w:rsidP="00DC040D">
      <w:pPr>
        <w:spacing w:line="360" w:lineRule="auto"/>
        <w:jc w:val="both"/>
      </w:pPr>
      <w:r>
        <w:t>Völkerrechtlicher Rasenmäher</w:t>
      </w:r>
    </w:p>
    <w:p w:rsidR="003D339B" w:rsidRDefault="003D339B" w:rsidP="00DC040D">
      <w:pPr>
        <w:spacing w:line="360" w:lineRule="auto"/>
        <w:jc w:val="both"/>
      </w:pPr>
    </w:p>
    <w:p w:rsidR="00B454B7" w:rsidRDefault="003D339B" w:rsidP="00DC040D">
      <w:pPr>
        <w:spacing w:line="360" w:lineRule="auto"/>
        <w:jc w:val="both"/>
      </w:pPr>
      <w:r>
        <w:t xml:space="preserve">Die Europäische Menschenrechtskonvention (EMRK) </w:t>
      </w:r>
      <w:r w:rsidR="00D75341">
        <w:t>wurde</w:t>
      </w:r>
      <w:r>
        <w:t xml:space="preserve"> geschaffen als Reaktion auf die massiven Menschenrechtsverletzun</w:t>
      </w:r>
      <w:r w:rsidR="00EB5D00">
        <w:t>gen der Nazis. Von nun an konnten</w:t>
      </w:r>
      <w:r>
        <w:t xml:space="preserve"> Staaten wegen der Verletzung der in der EMRK garantierten Menschenrechte vor einem internationalen Gericht, dem Europäischen Gerichtshof fü</w:t>
      </w:r>
      <w:r w:rsidR="009B13A2">
        <w:t>r Menschenrechte (EGMR)</w:t>
      </w:r>
      <w:r w:rsidR="00EB5D00">
        <w:t xml:space="preserve"> zur Rechenschaft gezogen werden</w:t>
      </w:r>
      <w:r>
        <w:t>.</w:t>
      </w:r>
      <w:r w:rsidR="00DC040D">
        <w:t xml:space="preserve"> Dieser Aufg</w:t>
      </w:r>
      <w:r w:rsidR="00292DAE">
        <w:t>abe ist der EGMR in den letzten fünfzig Jahren</w:t>
      </w:r>
      <w:r w:rsidR="00DC040D">
        <w:t xml:space="preserve"> in </w:t>
      </w:r>
      <w:r w:rsidR="00292DAE">
        <w:t>beeindruckender Weise nachgekommen. I</w:t>
      </w:r>
      <w:r w:rsidR="00DC040D">
        <w:t xml:space="preserve">n der Wahrnehmung dieser ihm ureigenen Aufgabe liegt auch heute noch seine berechtigte Legitimation. Erinnert sei aus jüngerer Zeit nur an </w:t>
      </w:r>
      <w:r w:rsidR="00B454B7">
        <w:t>jenen Fall, in dem der EGMR der Sache nach den CIA wegen Entführung und Folter verurteilt hat</w:t>
      </w:r>
      <w:r w:rsidR="006B3A9C">
        <w:t xml:space="preserve"> (</w:t>
      </w:r>
      <w:proofErr w:type="spellStart"/>
      <w:r w:rsidR="006B3A9C">
        <w:t>El-Masri/Mazed</w:t>
      </w:r>
      <w:r w:rsidR="003D3C83">
        <w:t>onien</w:t>
      </w:r>
      <w:proofErr w:type="spellEnd"/>
      <w:r w:rsidR="003D3C83">
        <w:t>; Urteil</w:t>
      </w:r>
      <w:r w:rsidR="006B3A9C">
        <w:t xml:space="preserve"> vom 13. 12. 2012)</w:t>
      </w:r>
      <w:r w:rsidR="003D3C83">
        <w:t>; ein</w:t>
      </w:r>
      <w:r w:rsidR="00B454B7">
        <w:t xml:space="preserve"> Fall</w:t>
      </w:r>
      <w:r w:rsidR="003D3C83">
        <w:t>, der die Bedeutung des EGMR zeigt</w:t>
      </w:r>
      <w:r w:rsidR="00B454B7">
        <w:t xml:space="preserve">; war doch der amerikanische </w:t>
      </w:r>
      <w:proofErr w:type="spellStart"/>
      <w:r w:rsidR="00B454B7">
        <w:t>Supreme</w:t>
      </w:r>
      <w:proofErr w:type="spellEnd"/>
      <w:r w:rsidR="00B454B7">
        <w:t xml:space="preserve"> Court zu feige, sich dieses schrecklichen Falles anzunehmen.</w:t>
      </w:r>
    </w:p>
    <w:p w:rsidR="00B454B7" w:rsidRDefault="00B454B7" w:rsidP="00DC040D">
      <w:pPr>
        <w:spacing w:line="360" w:lineRule="auto"/>
        <w:jc w:val="both"/>
      </w:pPr>
    </w:p>
    <w:p w:rsidR="00210E82" w:rsidRDefault="00B454B7" w:rsidP="00DC040D">
      <w:pPr>
        <w:spacing w:line="360" w:lineRule="auto"/>
        <w:jc w:val="both"/>
      </w:pPr>
      <w:r>
        <w:t xml:space="preserve">Der EGMR befasst sich aber seit längerer Zeit immer intensiver mit Fragen, wo </w:t>
      </w:r>
      <w:r w:rsidR="003D3C83">
        <w:t xml:space="preserve">keine Rede </w:t>
      </w:r>
      <w:r>
        <w:t xml:space="preserve">von Verletzung von </w:t>
      </w:r>
      <w:r>
        <w:rPr>
          <w:i/>
        </w:rPr>
        <w:t xml:space="preserve">Menschenrechten </w:t>
      </w:r>
      <w:r w:rsidR="003D3C83">
        <w:t>sein kann</w:t>
      </w:r>
      <w:r>
        <w:t>, und kommt so</w:t>
      </w:r>
      <w:r w:rsidR="003D3C83">
        <w:t xml:space="preserve"> immer häufiger</w:t>
      </w:r>
      <w:r>
        <w:t xml:space="preserve"> zu Verurteilungen, die</w:t>
      </w:r>
      <w:r w:rsidR="00625FDD">
        <w:t xml:space="preserve"> in vielen Ländern al</w:t>
      </w:r>
      <w:r>
        <w:t>s fragwürdig empfunden werden. So wurde die Schweiz ve</w:t>
      </w:r>
      <w:r w:rsidR="00625FDD">
        <w:t>r</w:t>
      </w:r>
      <w:r>
        <w:t xml:space="preserve">urteilt, weil </w:t>
      </w:r>
      <w:r w:rsidR="00625FDD">
        <w:t>die Schweizer Gerichte in zutreffender Anwendung schweizerischen Rechts einen illegalen Hausbesetzerverein, der seit Jahren Gesetze verletzt hatte, aufgelöst hatten</w:t>
      </w:r>
      <w:r w:rsidR="006B3A9C">
        <w:t xml:space="preserve"> (</w:t>
      </w:r>
      <w:r w:rsidR="00210E82">
        <w:t xml:space="preserve">Verein </w:t>
      </w:r>
      <w:proofErr w:type="spellStart"/>
      <w:r w:rsidR="00210E82">
        <w:t>Rhino/Schweiz</w:t>
      </w:r>
      <w:proofErr w:type="spellEnd"/>
      <w:r w:rsidR="00210E82">
        <w:t>, Urteil vom 11. 10. 2011)</w:t>
      </w:r>
      <w:r w:rsidR="00625FDD">
        <w:t>. Der Sache nach schuf der EGMR damit ein „Menschenrecht“(!) auf Fortführung von gesetzwidriger Vereinstätigkeit. Mit einer solchen Perversion der Menschenrechte schwächt der</w:t>
      </w:r>
      <w:r w:rsidR="00210E82">
        <w:t xml:space="preserve"> Gerichtshof </w:t>
      </w:r>
      <w:r w:rsidR="00625FDD">
        <w:t xml:space="preserve">seine Legitimation und schadet </w:t>
      </w:r>
      <w:r w:rsidR="009C4C2A">
        <w:t xml:space="preserve">damit </w:t>
      </w:r>
      <w:r w:rsidR="00625FDD">
        <w:t>vor allem sich selbst.</w:t>
      </w:r>
    </w:p>
    <w:p w:rsidR="00210E82" w:rsidRDefault="00210E82" w:rsidP="00DC040D">
      <w:pPr>
        <w:spacing w:line="360" w:lineRule="auto"/>
        <w:jc w:val="both"/>
      </w:pPr>
    </w:p>
    <w:p w:rsidR="00D55F54" w:rsidRDefault="00210E82" w:rsidP="00DC040D">
      <w:pPr>
        <w:spacing w:line="360" w:lineRule="auto"/>
        <w:jc w:val="both"/>
      </w:pPr>
      <w:r>
        <w:t xml:space="preserve">Ein neuer Fall, der letztes Jahr Aufsehen erregt hat, und der demnächst auf Begehren der Schweiz vor der Grossen Kammer neu aufgerollt wird, ist die causa </w:t>
      </w:r>
      <w:proofErr w:type="spellStart"/>
      <w:r>
        <w:t>Gross/Schweiz</w:t>
      </w:r>
      <w:proofErr w:type="spellEnd"/>
      <w:r>
        <w:t xml:space="preserve"> (Urteil vom 14. 5. 201</w:t>
      </w:r>
      <w:r w:rsidR="003452CE">
        <w:t>3). Hier</w:t>
      </w:r>
      <w:r w:rsidR="000E001F">
        <w:t xml:space="preserve"> wurde die Schweiz – wegen</w:t>
      </w:r>
      <w:r w:rsidR="003452CE">
        <w:t xml:space="preserve"> Verletzung von Menschenrechten ! - verurteilt, weil die schweizerische Gesetzgebung betreffend den assistierten Suizid zu wenig präzise sei; die Beschwerdeführerin, die sich vergeblich um einen assistierten Suizid bemüht hatte, </w:t>
      </w:r>
      <w:r w:rsidR="00EB5D00">
        <w:t xml:space="preserve">sei deshalb </w:t>
      </w:r>
      <w:r w:rsidR="003452CE">
        <w:t>wegen Ungewissheit über ihre Zukunft in erhebli</w:t>
      </w:r>
      <w:r w:rsidR="00EB5D00">
        <w:t>cher Weise geängstigt worden</w:t>
      </w:r>
      <w:r w:rsidR="003452CE">
        <w:t>.</w:t>
      </w:r>
      <w:r w:rsidR="00D55F54">
        <w:t xml:space="preserve"> Es handelt sich um eine ältere Frau, die seit Jahren den Wunsch zu sterben hat, ohne an einer schweren Krankheit zu leiden. </w:t>
      </w:r>
    </w:p>
    <w:p w:rsidR="00D55F54" w:rsidRDefault="00D55F54" w:rsidP="00DC040D">
      <w:pPr>
        <w:spacing w:line="360" w:lineRule="auto"/>
        <w:jc w:val="both"/>
      </w:pPr>
    </w:p>
    <w:p w:rsidR="00A37208" w:rsidRDefault="00D55F54" w:rsidP="00DC040D">
      <w:pPr>
        <w:spacing w:line="360" w:lineRule="auto"/>
        <w:jc w:val="both"/>
      </w:pPr>
      <w:r>
        <w:t>Der Fall macht in mehrere</w:t>
      </w:r>
      <w:r w:rsidR="00A37208">
        <w:t>r</w:t>
      </w:r>
      <w:r>
        <w:t xml:space="preserve"> Hinsicht deutlich, wie leicht, um nicht zu sagen skrupellos, der EGMR sich verrennt.</w:t>
      </w:r>
      <w:r w:rsidR="00750FC0">
        <w:t xml:space="preserve"> Das Urteil ist mit einer knappen Mehrheit von vier zu drei Richterstimmen </w:t>
      </w:r>
      <w:r w:rsidR="003D3C83">
        <w:t>zustande gekommen.</w:t>
      </w:r>
      <w:r w:rsidR="00750FC0">
        <w:t xml:space="preserve"> Hier fragt man sich: Wenn drei der beteiligten Richter mit guten Gründen keine Verletzung von Menschenrechten erblicken können, müsste dies</w:t>
      </w:r>
      <w:r w:rsidR="00A37208">
        <w:t xml:space="preserve"> die anderen Richter nicht zu </w:t>
      </w:r>
      <w:proofErr w:type="spellStart"/>
      <w:r w:rsidR="00A37208">
        <w:t>grösserer</w:t>
      </w:r>
      <w:proofErr w:type="spellEnd"/>
      <w:r w:rsidR="00A37208">
        <w:t xml:space="preserve"> Zurückhaltung bewegen ?</w:t>
      </w:r>
    </w:p>
    <w:p w:rsidR="00A37208" w:rsidRDefault="00A37208" w:rsidP="00DC040D">
      <w:pPr>
        <w:spacing w:line="360" w:lineRule="auto"/>
        <w:jc w:val="both"/>
      </w:pPr>
    </w:p>
    <w:p w:rsidR="00F4781C" w:rsidRDefault="00D128F5" w:rsidP="00DC040D">
      <w:pPr>
        <w:spacing w:line="360" w:lineRule="auto"/>
        <w:jc w:val="both"/>
      </w:pPr>
      <w:r>
        <w:t>D</w:t>
      </w:r>
      <w:r w:rsidR="00A37208">
        <w:t>ieser Entscheid</w:t>
      </w:r>
      <w:r>
        <w:t xml:space="preserve"> bedeutet, falls er bestätigt wird, </w:t>
      </w:r>
      <w:r w:rsidR="00A37208">
        <w:t xml:space="preserve">dass auf Grund eines </w:t>
      </w:r>
      <w:proofErr w:type="spellStart"/>
      <w:r w:rsidR="00A37208">
        <w:t>Strassburger</w:t>
      </w:r>
      <w:proofErr w:type="spellEnd"/>
      <w:r w:rsidR="00A37208">
        <w:t xml:space="preserve"> richterlichen Verdiktes der Staat die Abgabe von tödlich wirkenden Mitteln an g</w:t>
      </w:r>
      <w:r w:rsidR="00C52F45">
        <w:t xml:space="preserve">esunde Menschen zu regeln hätte, wobei unklar bleibt, ob eine Regelung, die eine solche Abgabe strikte verbietet, von der </w:t>
      </w:r>
      <w:proofErr w:type="spellStart"/>
      <w:r w:rsidR="00C52F45">
        <w:t>Strassburger</w:t>
      </w:r>
      <w:proofErr w:type="spellEnd"/>
      <w:r w:rsidR="00C52F45">
        <w:t xml:space="preserve"> Richtermehrheit geschluckt würde.</w:t>
      </w:r>
      <w:r w:rsidR="00A37208">
        <w:t xml:space="preserve"> Es besteht danach also ein </w:t>
      </w:r>
      <w:r w:rsidR="00A37208">
        <w:rPr>
          <w:i/>
        </w:rPr>
        <w:t xml:space="preserve">Menschenrecht </w:t>
      </w:r>
      <w:r w:rsidR="00A37208">
        <w:t>auf klare gesetzliche Regelung dieser Materie. Das ist nicht nachvollziehbar. Die EMRK schützt in erster Linie das menschliche Leben</w:t>
      </w:r>
      <w:r w:rsidR="000E001F">
        <w:t>,</w:t>
      </w:r>
      <w:r w:rsidR="00A37208">
        <w:t xml:space="preserve"> und ein Staat</w:t>
      </w:r>
      <w:r w:rsidR="00C52F45">
        <w:t>,</w:t>
      </w:r>
      <w:r w:rsidR="00A37208">
        <w:t xml:space="preserve"> der seinen Schutzpflichten, die er gegenüber seinen Bürgern hat, nicht hinreichend nachkommt, kann sich wegen Verletzung des Rechts auf Leben verantwortlich machen. Die EMRK schützt auch </w:t>
      </w:r>
      <w:r w:rsidR="00C52F45">
        <w:t>das Recht auf Selbstbestimmung. Aber kann sich daraus die – menschenrechtlich geschützte ! – Pflicht</w:t>
      </w:r>
      <w:r w:rsidR="000E001F">
        <w:t xml:space="preserve"> des Staates</w:t>
      </w:r>
      <w:r w:rsidR="00C52F45">
        <w:t xml:space="preserve"> ergeben, </w:t>
      </w:r>
      <w:r w:rsidR="00F4781C">
        <w:t>die Abgabe tödlich wirkender Mittel klar zu regeln ?</w:t>
      </w:r>
      <w:r>
        <w:t xml:space="preserve"> </w:t>
      </w:r>
    </w:p>
    <w:p w:rsidR="00F4781C" w:rsidRDefault="00F4781C" w:rsidP="00DC040D">
      <w:pPr>
        <w:spacing w:line="360" w:lineRule="auto"/>
        <w:jc w:val="both"/>
      </w:pPr>
    </w:p>
    <w:p w:rsidR="00D75341" w:rsidRDefault="00F4781C" w:rsidP="00DC040D">
      <w:pPr>
        <w:spacing w:line="360" w:lineRule="auto"/>
        <w:jc w:val="both"/>
      </w:pPr>
      <w:r>
        <w:t xml:space="preserve">Die Richtermehrheit übergeht – und das ist typisch für die </w:t>
      </w:r>
      <w:proofErr w:type="spellStart"/>
      <w:r>
        <w:t>Strassburger</w:t>
      </w:r>
      <w:proofErr w:type="spellEnd"/>
      <w:r>
        <w:t xml:space="preserve"> Richtermentalität - , dass es Fragen gibt, die im gesellschaftlichen Diskurs eines Staates</w:t>
      </w:r>
      <w:r w:rsidR="00C815B6">
        <w:t xml:space="preserve"> erörtert werden müssen und </w:t>
      </w:r>
      <w:r w:rsidR="003D3C83">
        <w:t xml:space="preserve">sich </w:t>
      </w:r>
      <w:r w:rsidR="00C815B6">
        <w:t>erst dann</w:t>
      </w:r>
      <w:r>
        <w:t>, wenn eine mehrheitsfähige Lösung gefunden wird,</w:t>
      </w:r>
      <w:r w:rsidR="00C815B6">
        <w:t xml:space="preserve"> g</w:t>
      </w:r>
      <w:r w:rsidR="003D3C83">
        <w:t>esetzlich regeln lassen</w:t>
      </w:r>
      <w:r>
        <w:t xml:space="preserve">. Fragen des assistierten Suizids sind </w:t>
      </w:r>
      <w:proofErr w:type="spellStart"/>
      <w:r>
        <w:t>äusserst</w:t>
      </w:r>
      <w:proofErr w:type="spellEnd"/>
      <w:r w:rsidR="00C815B6">
        <w:t xml:space="preserve"> delikat, wie die Diskussion</w:t>
      </w:r>
      <w:r w:rsidR="00D128F5">
        <w:t>en</w:t>
      </w:r>
      <w:r w:rsidR="003D3C83">
        <w:t xml:space="preserve"> der letzen Jahre gezeigt haben</w:t>
      </w:r>
      <w:r w:rsidR="00C815B6">
        <w:t>. Wenn ein Staat deshalb nicht zu klareren Lösungen kommt, als dies heute in der Schweiz der Fall ist, darf man ihm die</w:t>
      </w:r>
      <w:r w:rsidR="00121D7C">
        <w:t>s</w:t>
      </w:r>
      <w:r w:rsidR="00C815B6">
        <w:t xml:space="preserve"> nicht vorwerfen. Die abweichende Auffassung der Richtermehrheit ist typisch für ein in Strassburg verbreitetes D</w:t>
      </w:r>
      <w:r w:rsidR="003D3C83">
        <w:t>enken, das die Bedeutung der Demokratie</w:t>
      </w:r>
      <w:r w:rsidR="00C815B6">
        <w:t xml:space="preserve"> </w:t>
      </w:r>
      <w:r w:rsidR="000E001F">
        <w:t xml:space="preserve">und ihrer Institutionen </w:t>
      </w:r>
      <w:r w:rsidR="00C815B6">
        <w:t xml:space="preserve">für einen funktionierenden Rechtsstaat </w:t>
      </w:r>
      <w:proofErr w:type="spellStart"/>
      <w:r w:rsidR="00C815B6">
        <w:t>verkennt</w:t>
      </w:r>
      <w:proofErr w:type="spellEnd"/>
      <w:r w:rsidR="00C815B6">
        <w:t>.</w:t>
      </w:r>
      <w:r w:rsidR="00CB12BF">
        <w:t xml:space="preserve"> Dahinter steckt eine im Völkerrecht verbreitete Mentalität: Man beruft sich auf den Vorrang des Völkerrechts und vor allem der vom EGMR </w:t>
      </w:r>
      <w:proofErr w:type="spellStart"/>
      <w:r w:rsidR="00CB12BF">
        <w:t>abschliessend</w:t>
      </w:r>
      <w:proofErr w:type="spellEnd"/>
      <w:r w:rsidR="00CB12BF">
        <w:t xml:space="preserve"> definierten Menschenrechte. Völkerrechtler pflegen mit dem völkerrechtlichen Rasenmäher alle </w:t>
      </w:r>
      <w:r w:rsidR="00D75341">
        <w:t xml:space="preserve">demokratischen </w:t>
      </w:r>
      <w:r w:rsidR="00CB12BF">
        <w:t xml:space="preserve">Probleme wegzuschneiden, um sich dann mit Ihresgleichen auf der so präparierten Spielwiese </w:t>
      </w:r>
      <w:r w:rsidR="00EB5D00">
        <w:t xml:space="preserve">ungestört </w:t>
      </w:r>
      <w:r w:rsidR="00CB12BF">
        <w:t>zu tummeln.</w:t>
      </w:r>
    </w:p>
    <w:p w:rsidR="00B11082" w:rsidRDefault="00B11082" w:rsidP="00DC040D">
      <w:pPr>
        <w:spacing w:line="360" w:lineRule="auto"/>
        <w:jc w:val="both"/>
      </w:pPr>
    </w:p>
    <w:p w:rsidR="000E001F" w:rsidRDefault="00B11082" w:rsidP="00DC040D">
      <w:pPr>
        <w:spacing w:line="360" w:lineRule="auto"/>
        <w:jc w:val="both"/>
      </w:pPr>
      <w:r>
        <w:t xml:space="preserve">Merkwürdig </w:t>
      </w:r>
      <w:r w:rsidR="00121D7C">
        <w:t>berührt</w:t>
      </w:r>
      <w:r>
        <w:t>, dass der EGMR nur gerade zwei Staaten –</w:t>
      </w:r>
      <w:r w:rsidR="000E001F">
        <w:t xml:space="preserve"> </w:t>
      </w:r>
      <w:r>
        <w:t>Belgien und Luxemburg – anführen kann,</w:t>
      </w:r>
      <w:r w:rsidR="00121D7C">
        <w:t xml:space="preserve"> </w:t>
      </w:r>
      <w:r>
        <w:t xml:space="preserve">die eine </w:t>
      </w:r>
      <w:proofErr w:type="spellStart"/>
      <w:r>
        <w:t>detailliertere</w:t>
      </w:r>
      <w:proofErr w:type="spellEnd"/>
      <w:r>
        <w:t xml:space="preserve"> Regelung der Euthanasie und des assistierten Suizids getroffen haben. </w:t>
      </w:r>
      <w:r w:rsidR="00CB12BF">
        <w:t>Dies steht im Widerspruch zu seiner sonst üblichen Argumentation</w:t>
      </w:r>
      <w:r w:rsidR="00121D7C">
        <w:t>, es bestehe</w:t>
      </w:r>
      <w:r w:rsidR="00F54818">
        <w:t xml:space="preserve"> in den Rechtsordnungen der Europarats</w:t>
      </w:r>
      <w:r w:rsidR="00CB12BF">
        <w:t>staaten eine gewisse Tendenz, die man</w:t>
      </w:r>
      <w:r w:rsidR="00F54818">
        <w:t xml:space="preserve"> dann zum </w:t>
      </w:r>
      <w:proofErr w:type="spellStart"/>
      <w:r w:rsidR="00F54818">
        <w:t>massgebenden</w:t>
      </w:r>
      <w:proofErr w:type="spellEnd"/>
      <w:r w:rsidR="00F54818">
        <w:t xml:space="preserve"> europäischen Recht</w:t>
      </w:r>
      <w:r w:rsidR="00CB12BF">
        <w:t xml:space="preserve"> erhebt; eine</w:t>
      </w:r>
      <w:r w:rsidR="00F54818">
        <w:t xml:space="preserve"> </w:t>
      </w:r>
      <w:r w:rsidR="009B13A2">
        <w:t>allerdings</w:t>
      </w:r>
      <w:r w:rsidR="00EB5D00">
        <w:t xml:space="preserve"> unhaltbare Argumentation, da</w:t>
      </w:r>
      <w:r w:rsidR="00F54818">
        <w:t xml:space="preserve"> auch </w:t>
      </w:r>
      <w:r w:rsidR="00CB12BF">
        <w:t>eine einheitliche Regelung in</w:t>
      </w:r>
      <w:r w:rsidR="00F54818">
        <w:t xml:space="preserve"> 46 europäische S</w:t>
      </w:r>
      <w:r w:rsidR="00CB12BF">
        <w:t xml:space="preserve">taaten </w:t>
      </w:r>
      <w:r w:rsidR="00EB5D00">
        <w:t xml:space="preserve">nicht </w:t>
      </w:r>
      <w:r w:rsidR="00CB12BF">
        <w:t>bedeutet</w:t>
      </w:r>
      <w:r w:rsidR="00F54818">
        <w:t xml:space="preserve">, dass die abweichende Regelung des </w:t>
      </w:r>
      <w:r w:rsidR="00D128F5">
        <w:t>47. S</w:t>
      </w:r>
      <w:r w:rsidR="00CB12BF">
        <w:t xml:space="preserve">taates </w:t>
      </w:r>
      <w:proofErr w:type="spellStart"/>
      <w:r w:rsidR="00CB12BF">
        <w:t>EMRK-widrig</w:t>
      </w:r>
      <w:proofErr w:type="spellEnd"/>
      <w:r w:rsidR="00CB12BF">
        <w:t xml:space="preserve"> wäre.</w:t>
      </w:r>
    </w:p>
    <w:p w:rsidR="000E001F" w:rsidRDefault="000E001F" w:rsidP="00DC040D">
      <w:pPr>
        <w:spacing w:line="360" w:lineRule="auto"/>
        <w:jc w:val="both"/>
      </w:pPr>
    </w:p>
    <w:p w:rsidR="007F6BC2" w:rsidRDefault="000E001F" w:rsidP="00DC040D">
      <w:pPr>
        <w:spacing w:line="360" w:lineRule="auto"/>
        <w:jc w:val="both"/>
      </w:pPr>
      <w:r>
        <w:t xml:space="preserve">Martin </w:t>
      </w:r>
      <w:proofErr w:type="spellStart"/>
      <w:r>
        <w:t>Schubarth</w:t>
      </w:r>
      <w:proofErr w:type="spellEnd"/>
      <w:r>
        <w:t>, www.martinschubarth.ch</w:t>
      </w:r>
    </w:p>
    <w:p w:rsidR="007F6BC2" w:rsidRDefault="007F6BC2" w:rsidP="00DC040D">
      <w:pPr>
        <w:spacing w:line="360" w:lineRule="auto"/>
        <w:jc w:val="both"/>
      </w:pPr>
    </w:p>
    <w:p w:rsidR="00B11082" w:rsidRDefault="00B11082" w:rsidP="00DC040D">
      <w:pPr>
        <w:spacing w:line="360" w:lineRule="auto"/>
        <w:jc w:val="both"/>
      </w:pPr>
    </w:p>
    <w:p w:rsidR="00B11082" w:rsidRDefault="00B11082" w:rsidP="00DC040D">
      <w:pPr>
        <w:spacing w:line="360" w:lineRule="auto"/>
        <w:jc w:val="both"/>
      </w:pPr>
    </w:p>
    <w:p w:rsidR="00A37208" w:rsidRPr="00A37208" w:rsidRDefault="00A37208" w:rsidP="00DC040D">
      <w:pPr>
        <w:spacing w:line="360" w:lineRule="auto"/>
        <w:jc w:val="both"/>
      </w:pPr>
    </w:p>
    <w:p w:rsidR="00A37208" w:rsidRDefault="00A37208" w:rsidP="00DC040D">
      <w:pPr>
        <w:spacing w:line="360" w:lineRule="auto"/>
        <w:jc w:val="both"/>
      </w:pPr>
    </w:p>
    <w:p w:rsidR="00210E82" w:rsidRDefault="00210E82" w:rsidP="00DC040D">
      <w:pPr>
        <w:spacing w:line="360" w:lineRule="auto"/>
        <w:jc w:val="both"/>
      </w:pPr>
    </w:p>
    <w:p w:rsidR="00210E82" w:rsidRDefault="00210E82" w:rsidP="00DC040D">
      <w:pPr>
        <w:spacing w:line="360" w:lineRule="auto"/>
        <w:jc w:val="both"/>
      </w:pPr>
    </w:p>
    <w:p w:rsidR="00210E82" w:rsidRDefault="00210E82" w:rsidP="00DC040D">
      <w:pPr>
        <w:spacing w:line="360" w:lineRule="auto"/>
        <w:jc w:val="both"/>
      </w:pPr>
    </w:p>
    <w:p w:rsidR="00210E82" w:rsidRDefault="00210E82" w:rsidP="00DC040D">
      <w:pPr>
        <w:spacing w:line="360" w:lineRule="auto"/>
        <w:jc w:val="both"/>
      </w:pPr>
    </w:p>
    <w:p w:rsidR="00DC040D" w:rsidRPr="00B454B7" w:rsidRDefault="00DC040D" w:rsidP="00DC040D">
      <w:pPr>
        <w:spacing w:line="360" w:lineRule="auto"/>
        <w:jc w:val="both"/>
        <w:rPr>
          <w:i/>
        </w:rPr>
      </w:pPr>
    </w:p>
    <w:sectPr w:rsidR="00DC040D" w:rsidRPr="00B454B7" w:rsidSect="00DC040D">
      <w:pgSz w:w="11900" w:h="16840"/>
      <w:pgMar w:top="1701" w:right="1701" w:bottom="1701" w:left="170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attachedTemplate r:id="rId1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1193D"/>
    <w:rsid w:val="0001193D"/>
    <w:rsid w:val="000E001F"/>
    <w:rsid w:val="00121D7C"/>
    <w:rsid w:val="00210E82"/>
    <w:rsid w:val="00292DAE"/>
    <w:rsid w:val="003452CE"/>
    <w:rsid w:val="003D339B"/>
    <w:rsid w:val="003D3C83"/>
    <w:rsid w:val="0056351B"/>
    <w:rsid w:val="00625FDD"/>
    <w:rsid w:val="006B3A9C"/>
    <w:rsid w:val="00750FC0"/>
    <w:rsid w:val="007F6BC2"/>
    <w:rsid w:val="009B13A2"/>
    <w:rsid w:val="009C4C2A"/>
    <w:rsid w:val="00A305CC"/>
    <w:rsid w:val="00A37208"/>
    <w:rsid w:val="00B11082"/>
    <w:rsid w:val="00B454B7"/>
    <w:rsid w:val="00C52F45"/>
    <w:rsid w:val="00C815B6"/>
    <w:rsid w:val="00CB12BF"/>
    <w:rsid w:val="00D128F5"/>
    <w:rsid w:val="00D55F54"/>
    <w:rsid w:val="00D75341"/>
    <w:rsid w:val="00DC040D"/>
    <w:rsid w:val="00E17550"/>
    <w:rsid w:val="00EB5D00"/>
    <w:rsid w:val="00F4781C"/>
    <w:rsid w:val="00F54818"/>
    <w:rsid w:val="00FE2165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AD2"/>
    <w:rPr>
      <w:rFonts w:ascii="Georgia" w:hAnsi="Georgia"/>
      <w:lang w:val="de-DE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36E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36EF9"/>
    <w:rPr>
      <w:rFonts w:ascii="Georgia" w:hAnsi="Georgia"/>
      <w:lang w:val="de-DE"/>
    </w:rPr>
  </w:style>
  <w:style w:type="paragraph" w:styleId="Pieddepage">
    <w:name w:val="footer"/>
    <w:basedOn w:val="Normal"/>
    <w:link w:val="PieddepageCar"/>
    <w:uiPriority w:val="99"/>
    <w:semiHidden/>
    <w:unhideWhenUsed/>
    <w:rsid w:val="00036E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36EF9"/>
    <w:rPr>
      <w:rFonts w:ascii="Georgia" w:hAnsi="Georgia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tin:Library:Application%20Support:Microsoft:Office:Mode&#768;les%20utilisateur:Mes%20mode&#768;les:Blank%20Blatt%203333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Blatt 3333.dotx</Template>
  <TotalTime>270</TotalTime>
  <Pages>3</Pages>
  <Words>740</Words>
  <Characters>4566</Characters>
  <Application>Microsoft Macintosh Word</Application>
  <DocSecurity>0</DocSecurity>
  <Lines>91</Lines>
  <Paragraphs>9</Paragraphs>
  <ScaleCrop>false</ScaleCrop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Schubarth</dc:creator>
  <cp:keywords/>
  <cp:lastModifiedBy>Martin Schubarth</cp:lastModifiedBy>
  <cp:revision>13</cp:revision>
  <cp:lastPrinted>2014-02-26T15:38:00Z</cp:lastPrinted>
  <dcterms:created xsi:type="dcterms:W3CDTF">2014-02-25T17:17:00Z</dcterms:created>
  <dcterms:modified xsi:type="dcterms:W3CDTF">2014-02-26T15:47:00Z</dcterms:modified>
</cp:coreProperties>
</file>